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435AC" w14:textId="4FE21EB2" w:rsidR="0098737E" w:rsidRPr="00F344EA" w:rsidRDefault="0098737E" w:rsidP="002B4448">
      <w:pPr>
        <w:keepNext/>
        <w:keepLines/>
        <w:spacing w:before="40"/>
        <w:jc w:val="center"/>
        <w:outlineLvl w:val="2"/>
        <w:rPr>
          <w:rFonts w:eastAsia="Times New Roman"/>
          <w:b/>
          <w:color w:val="000000"/>
          <w:sz w:val="28"/>
          <w:szCs w:val="28"/>
          <w:lang w:val="kk-KZ"/>
        </w:rPr>
      </w:pPr>
      <w:r w:rsidRPr="0098737E">
        <w:rPr>
          <w:rFonts w:eastAsia="Times New Roman"/>
          <w:b/>
          <w:color w:val="000000"/>
          <w:sz w:val="28"/>
          <w:szCs w:val="28"/>
          <w:lang w:val="kk-KZ"/>
        </w:rPr>
        <w:t>«ҚазМұнайГаз</w:t>
      </w:r>
      <w:r w:rsidRPr="00F344EA">
        <w:rPr>
          <w:rFonts w:eastAsia="Times New Roman"/>
          <w:b/>
          <w:color w:val="000000"/>
          <w:sz w:val="28"/>
          <w:szCs w:val="28"/>
          <w:lang w:val="kk-KZ"/>
        </w:rPr>
        <w:t>» Барлау Өндіру» акционерлік қоғамы</w:t>
      </w:r>
    </w:p>
    <w:p w14:paraId="6BFBCC91" w14:textId="77777777" w:rsidR="0098737E" w:rsidRPr="00F344EA" w:rsidRDefault="0098737E" w:rsidP="002B4448">
      <w:pPr>
        <w:keepNext/>
        <w:keepLines/>
        <w:spacing w:before="40"/>
        <w:jc w:val="center"/>
        <w:outlineLvl w:val="2"/>
        <w:rPr>
          <w:rFonts w:eastAsia="Times New Roman"/>
          <w:b/>
          <w:color w:val="000000"/>
          <w:sz w:val="28"/>
          <w:szCs w:val="28"/>
          <w:lang w:val="kk-KZ"/>
        </w:rPr>
      </w:pPr>
      <w:r w:rsidRPr="00F344EA">
        <w:rPr>
          <w:rFonts w:eastAsia="Times New Roman"/>
          <w:b/>
          <w:color w:val="000000"/>
          <w:sz w:val="28"/>
          <w:szCs w:val="28"/>
          <w:lang w:val="kk-KZ"/>
        </w:rPr>
        <w:t xml:space="preserve">акционерлерінің </w:t>
      </w:r>
      <w:r w:rsidRPr="002D73F4">
        <w:rPr>
          <w:rFonts w:eastAsia="Times New Roman"/>
          <w:b/>
          <w:color w:val="000000"/>
          <w:sz w:val="28"/>
          <w:szCs w:val="28"/>
          <w:lang w:val="kk-KZ"/>
        </w:rPr>
        <w:t>кезектен тыс жалпы жиналысының</w:t>
      </w:r>
      <w:r w:rsidRPr="00F344EA">
        <w:rPr>
          <w:rFonts w:eastAsia="Times New Roman"/>
          <w:b/>
          <w:color w:val="000000"/>
          <w:sz w:val="28"/>
          <w:szCs w:val="28"/>
          <w:lang w:val="kk-KZ"/>
        </w:rPr>
        <w:t xml:space="preserve"> материалдары</w:t>
      </w:r>
    </w:p>
    <w:p w14:paraId="669A9DF1" w14:textId="4FEB2A23" w:rsidR="00EC4D8A" w:rsidRPr="00F344EA" w:rsidRDefault="001157AB" w:rsidP="002B444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bookmarkStart w:id="0" w:name="_GoBack"/>
      <w:bookmarkEnd w:id="0"/>
      <w:r w:rsidR="0098737E" w:rsidRPr="00F344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жылғы </w:t>
      </w:r>
      <w:r w:rsidR="007D3526" w:rsidRPr="00F344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12 </w:t>
      </w:r>
      <w:r w:rsidR="0065614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қаңтар</w:t>
      </w:r>
      <w:r w:rsidR="00EC4D8A" w:rsidRPr="00F344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10 </w:t>
      </w:r>
      <w:r w:rsidR="0098737E" w:rsidRPr="00F344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сағат</w:t>
      </w:r>
      <w:r w:rsidR="00EC4D8A" w:rsidRPr="00F344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00 минут</w:t>
      </w:r>
    </w:p>
    <w:p w14:paraId="54AA1645" w14:textId="77777777" w:rsidR="00EC4D8A" w:rsidRPr="00F344EA" w:rsidRDefault="00EC4D8A" w:rsidP="004B78EC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14:paraId="1C25283D" w14:textId="1B8EF764" w:rsidR="00EC4D8A" w:rsidRPr="00F344EA" w:rsidRDefault="002B4448" w:rsidP="004B78EC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F344EA">
        <w:rPr>
          <w:b/>
          <w:sz w:val="28"/>
          <w:szCs w:val="28"/>
          <w:lang w:val="kk-KZ"/>
        </w:rPr>
        <w:t>Жиналыстың күн тәртібі</w:t>
      </w:r>
      <w:r w:rsidR="00EC4D8A" w:rsidRPr="00F344EA">
        <w:rPr>
          <w:b/>
          <w:sz w:val="28"/>
          <w:szCs w:val="28"/>
          <w:lang w:val="kk-KZ"/>
        </w:rPr>
        <w:t>:</w:t>
      </w:r>
    </w:p>
    <w:p w14:paraId="58857776" w14:textId="77777777" w:rsidR="00750E7B" w:rsidRPr="00F344EA" w:rsidRDefault="00750E7B" w:rsidP="004B78EC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14:paraId="53A41243" w14:textId="4115A779" w:rsidR="003838BC" w:rsidRPr="00F344EA" w:rsidRDefault="007D3526" w:rsidP="007D3526">
      <w:pPr>
        <w:tabs>
          <w:tab w:val="left" w:pos="960"/>
        </w:tabs>
        <w:spacing w:after="120"/>
        <w:jc w:val="both"/>
        <w:rPr>
          <w:rFonts w:eastAsia="Calibri"/>
          <w:sz w:val="28"/>
          <w:szCs w:val="28"/>
          <w:lang w:val="kk-KZ" w:eastAsia="en-US"/>
        </w:rPr>
      </w:pPr>
      <w:r w:rsidRPr="00F344EA">
        <w:rPr>
          <w:rFonts w:eastAsia="Calibri"/>
          <w:sz w:val="28"/>
          <w:szCs w:val="28"/>
          <w:lang w:val="kk-KZ" w:eastAsia="en-US"/>
        </w:rPr>
        <w:t xml:space="preserve">          1.  </w:t>
      </w:r>
      <w:r w:rsidR="002B4448" w:rsidRPr="00F344EA">
        <w:rPr>
          <w:rFonts w:eastAsia="Calibri"/>
          <w:sz w:val="28"/>
          <w:szCs w:val="28"/>
          <w:lang w:val="kk-KZ" w:eastAsia="en-US"/>
        </w:rPr>
        <w:t xml:space="preserve">2021 жылға «ҚазМұнайГаз» Барлау Өндіру» АҚ-ның сыртқы аудиторын </w:t>
      </w:r>
      <w:r w:rsidR="00C97606">
        <w:rPr>
          <w:rFonts w:eastAsia="Calibri"/>
          <w:sz w:val="28"/>
          <w:szCs w:val="28"/>
          <w:lang w:val="kk-KZ" w:eastAsia="en-US"/>
        </w:rPr>
        <w:t>анықт</w:t>
      </w:r>
      <w:r w:rsidR="002B4448" w:rsidRPr="00F344EA">
        <w:rPr>
          <w:rFonts w:eastAsia="Calibri"/>
          <w:sz w:val="28"/>
          <w:szCs w:val="28"/>
          <w:lang w:val="kk-KZ" w:eastAsia="en-US"/>
        </w:rPr>
        <w:t>ау туралы</w:t>
      </w:r>
      <w:r w:rsidRPr="00F344EA">
        <w:rPr>
          <w:rFonts w:eastAsia="Calibri"/>
          <w:sz w:val="28"/>
          <w:szCs w:val="28"/>
          <w:lang w:val="kk-KZ" w:eastAsia="en-US"/>
        </w:rPr>
        <w:t>.</w:t>
      </w:r>
    </w:p>
    <w:p w14:paraId="35691CB7" w14:textId="77777777" w:rsidR="007D3526" w:rsidRPr="00F344EA" w:rsidRDefault="007D3526" w:rsidP="007D3526">
      <w:pPr>
        <w:tabs>
          <w:tab w:val="left" w:pos="960"/>
        </w:tabs>
        <w:spacing w:after="120"/>
        <w:jc w:val="both"/>
        <w:rPr>
          <w:rFonts w:eastAsiaTheme="majorEastAsia"/>
          <w:b/>
          <w:color w:val="000000" w:themeColor="text1"/>
          <w:sz w:val="28"/>
          <w:szCs w:val="28"/>
          <w:lang w:val="kk-KZ"/>
        </w:rPr>
      </w:pPr>
    </w:p>
    <w:p w14:paraId="7DC9D0D3" w14:textId="6D1753FD" w:rsidR="007D3526" w:rsidRPr="00F344EA" w:rsidRDefault="002B4448" w:rsidP="007D3526">
      <w:pPr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F344EA">
        <w:rPr>
          <w:rFonts w:eastAsia="Times New Roman"/>
          <w:sz w:val="28"/>
          <w:szCs w:val="28"/>
          <w:lang w:val="kk-KZ"/>
        </w:rPr>
        <w:t xml:space="preserve">«Акционерлік қоғамдар туралы» Қазақстан Республикасының Заңына сәйкес Қоғам оны талқылау және бекіту үшін акционерлердің </w:t>
      </w:r>
      <w:r w:rsidRPr="002D73F4">
        <w:rPr>
          <w:rFonts w:eastAsia="Times New Roman"/>
          <w:sz w:val="28"/>
          <w:szCs w:val="28"/>
          <w:lang w:val="kk-KZ"/>
        </w:rPr>
        <w:t>жалпы жиналысына</w:t>
      </w:r>
      <w:r w:rsidRPr="00F344EA">
        <w:rPr>
          <w:rFonts w:eastAsia="Times New Roman"/>
          <w:sz w:val="28"/>
          <w:szCs w:val="28"/>
          <w:lang w:val="kk-KZ"/>
        </w:rPr>
        <w:t xml:space="preserve"> аудиті Қазақстан Республикасының аудиторлық қызмет туралы заңнамасына сәйкес жүргізілген өткен жыл үшін жылдық қаржылық есептілікті ұсынуға міндетті</w:t>
      </w:r>
      <w:r w:rsidR="00F34857" w:rsidRPr="00F344EA">
        <w:rPr>
          <w:rFonts w:eastAsia="Times New Roman"/>
          <w:sz w:val="28"/>
          <w:szCs w:val="28"/>
          <w:lang w:val="kk-KZ"/>
        </w:rPr>
        <w:t>.</w:t>
      </w:r>
      <w:r w:rsidR="007D3526" w:rsidRPr="00F344EA">
        <w:rPr>
          <w:rFonts w:eastAsia="Times New Roman"/>
          <w:sz w:val="28"/>
          <w:szCs w:val="28"/>
          <w:lang w:val="kk-KZ"/>
        </w:rPr>
        <w:t xml:space="preserve"> </w:t>
      </w:r>
    </w:p>
    <w:p w14:paraId="425D1980" w14:textId="356A0A5E" w:rsidR="007D3526" w:rsidRPr="00F344EA" w:rsidRDefault="009959EB" w:rsidP="007D3526">
      <w:pPr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F344EA">
        <w:rPr>
          <w:rFonts w:eastAsia="Times New Roman"/>
          <w:sz w:val="28"/>
          <w:szCs w:val="28"/>
          <w:lang w:val="kk-KZ"/>
        </w:rPr>
        <w:t>«ҚазМұнайГаз» Барлау Өндіру» АҚ (бұдан әрі - Қоғам) қаржы есептілі</w:t>
      </w:r>
      <w:r w:rsidR="00F344EA" w:rsidRPr="00F344EA">
        <w:rPr>
          <w:rFonts w:eastAsia="Times New Roman"/>
          <w:sz w:val="28"/>
          <w:szCs w:val="28"/>
          <w:lang w:val="kk-KZ"/>
        </w:rPr>
        <w:t>гі</w:t>
      </w:r>
      <w:r w:rsidRPr="00F344EA">
        <w:rPr>
          <w:rFonts w:eastAsia="Times New Roman"/>
          <w:sz w:val="28"/>
          <w:szCs w:val="28"/>
          <w:lang w:val="kk-KZ"/>
        </w:rPr>
        <w:t xml:space="preserve"> депозитарийінің интернет-ресурсында шоғырландырылған қаржылық есептілікті және аудиторлық есепті уәкілетті орган белгілеген тәртіппен және мерзімдерде жыл сайын жариялауға міндетті</w:t>
      </w:r>
      <w:r w:rsidR="007D3526" w:rsidRPr="00F344EA">
        <w:rPr>
          <w:rFonts w:eastAsia="Times New Roman"/>
          <w:sz w:val="28"/>
          <w:szCs w:val="28"/>
          <w:lang w:val="kk-KZ"/>
        </w:rPr>
        <w:t>.</w:t>
      </w:r>
    </w:p>
    <w:p w14:paraId="08A81E3E" w14:textId="3CEC3A71" w:rsidR="007D3526" w:rsidRPr="00F344EA" w:rsidRDefault="009959EB" w:rsidP="007D3526">
      <w:pPr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F344EA">
        <w:rPr>
          <w:rFonts w:eastAsia="Times New Roman"/>
          <w:sz w:val="28"/>
          <w:szCs w:val="28"/>
          <w:lang w:val="kk-KZ"/>
        </w:rPr>
        <w:t>Сондай-ақ Қоғам бақыланатын шетелдік компанияның қатысушысы болуына байланысты қолданыстағы салық заңнамасы қаржылық есептілікке аудиторлық қорытындының болуын көздейді</w:t>
      </w:r>
      <w:r w:rsidR="007D3526" w:rsidRPr="00F344EA">
        <w:rPr>
          <w:rFonts w:eastAsia="Times New Roman"/>
          <w:sz w:val="28"/>
          <w:szCs w:val="28"/>
          <w:lang w:val="kk-KZ"/>
        </w:rPr>
        <w:t>.</w:t>
      </w:r>
    </w:p>
    <w:p w14:paraId="01B2C7E0" w14:textId="50729F3E" w:rsidR="007D3526" w:rsidRPr="00F344EA" w:rsidRDefault="009959EB" w:rsidP="007D3526">
      <w:pPr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F344EA">
        <w:rPr>
          <w:rFonts w:eastAsia="Times New Roman"/>
          <w:sz w:val="28"/>
          <w:szCs w:val="28"/>
          <w:lang w:val="kk-KZ"/>
        </w:rPr>
        <w:t xml:space="preserve">Қоғам Жарғысының 103-тармағының 11) тармақшасына сәйкес акционерлердің </w:t>
      </w:r>
      <w:r w:rsidRPr="002D73F4">
        <w:rPr>
          <w:rFonts w:eastAsia="Times New Roman"/>
          <w:sz w:val="28"/>
          <w:szCs w:val="28"/>
          <w:lang w:val="kk-KZ"/>
        </w:rPr>
        <w:t>жалпы жиналысының</w:t>
      </w:r>
      <w:r w:rsidRPr="00F344EA">
        <w:rPr>
          <w:rFonts w:eastAsia="Times New Roman"/>
          <w:sz w:val="28"/>
          <w:szCs w:val="28"/>
          <w:lang w:val="kk-KZ"/>
        </w:rPr>
        <w:t xml:space="preserve"> айрықша құзыретіне Қоғамның аудитін жүзеге асы</w:t>
      </w:r>
      <w:r w:rsidR="00DC25BD">
        <w:rPr>
          <w:rFonts w:eastAsia="Times New Roman"/>
          <w:sz w:val="28"/>
          <w:szCs w:val="28"/>
          <w:lang w:val="kk-KZ"/>
        </w:rPr>
        <w:t>ратын аудиторлық ұйымды анықтау</w:t>
      </w:r>
      <w:r w:rsidRPr="00F344EA">
        <w:rPr>
          <w:rFonts w:eastAsia="Times New Roman"/>
          <w:sz w:val="28"/>
          <w:szCs w:val="28"/>
          <w:lang w:val="kk-KZ"/>
        </w:rPr>
        <w:t xml:space="preserve"> жатады</w:t>
      </w:r>
      <w:r w:rsidR="007D3526" w:rsidRPr="00F344EA">
        <w:rPr>
          <w:rFonts w:eastAsia="Times New Roman"/>
          <w:sz w:val="28"/>
          <w:szCs w:val="28"/>
          <w:lang w:val="kk-KZ"/>
        </w:rPr>
        <w:t xml:space="preserve">. </w:t>
      </w:r>
    </w:p>
    <w:p w14:paraId="234C5C28" w14:textId="5AF8CED0" w:rsidR="007D3526" w:rsidRPr="00F344EA" w:rsidRDefault="009959EB" w:rsidP="007D3526">
      <w:pPr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F344EA">
        <w:rPr>
          <w:rFonts w:eastAsia="Times New Roman"/>
          <w:sz w:val="28"/>
          <w:szCs w:val="28"/>
          <w:lang w:val="kk-KZ"/>
        </w:rPr>
        <w:t>2018 жылғы 12 желтоқсандағы «Самұрық–Қазына» АҚ және «ҚазМұнайГаз» ҰК АҚ және оның еншілес ұйымдары үшін аудиторлық ұйымды таңдау үшін Бірыңғай комиссия отырысының хаттамасымен 2019-2021 жж. аудит үшін аудиторлық қызметтердің құны айқындалды және «Эрнст энд Янг» ЖШС 2019-2021 жж. Қоғам үшін қаржылық есептіліктің аудитін жүзеге асыратын сыртқы аудитор ретінде ұсынылды</w:t>
      </w:r>
      <w:r w:rsidR="007D3526" w:rsidRPr="00F344EA">
        <w:rPr>
          <w:rFonts w:eastAsia="Times New Roman"/>
          <w:sz w:val="28"/>
          <w:szCs w:val="28"/>
          <w:lang w:val="kk-KZ"/>
        </w:rPr>
        <w:t>.</w:t>
      </w:r>
    </w:p>
    <w:p w14:paraId="43783C6E" w14:textId="43C23928" w:rsidR="007D3526" w:rsidRPr="00F344EA" w:rsidRDefault="009959EB" w:rsidP="007D3526">
      <w:pPr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F344EA">
        <w:rPr>
          <w:rFonts w:eastAsia="Times New Roman"/>
          <w:sz w:val="28"/>
          <w:szCs w:val="28"/>
          <w:lang w:val="kk-KZ"/>
        </w:rPr>
        <w:t>Бұған дейін Қоғам белгіленген тәртіппен 2019 және 2020 жылдарға арналған қаржылық есептіліктің аудиті бойынша жекелеген шарттар жасасқан болатын. Қазіргі уақытта Қоғамға 2021 жылға арналған қаржылық есептілік аудитін жүргізу талап етіледі</w:t>
      </w:r>
      <w:r w:rsidR="007D3526" w:rsidRPr="00F344EA">
        <w:rPr>
          <w:rFonts w:eastAsia="Times New Roman"/>
          <w:sz w:val="28"/>
          <w:szCs w:val="28"/>
          <w:lang w:val="kk-KZ"/>
        </w:rPr>
        <w:t xml:space="preserve">.   </w:t>
      </w:r>
    </w:p>
    <w:p w14:paraId="4881AEC0" w14:textId="77777777" w:rsidR="00AF65EE" w:rsidRPr="00F344EA" w:rsidRDefault="00AF65EE" w:rsidP="00750E7B">
      <w:pPr>
        <w:ind w:firstLine="708"/>
        <w:jc w:val="both"/>
        <w:rPr>
          <w:b/>
          <w:sz w:val="28"/>
          <w:szCs w:val="28"/>
          <w:lang w:val="kk-KZ"/>
        </w:rPr>
      </w:pPr>
    </w:p>
    <w:p w14:paraId="43F153DB" w14:textId="50B394DB" w:rsidR="00ED136F" w:rsidRPr="00F344EA" w:rsidRDefault="009959EB" w:rsidP="00750E7B">
      <w:pPr>
        <w:ind w:firstLine="708"/>
        <w:jc w:val="both"/>
        <w:rPr>
          <w:b/>
          <w:sz w:val="28"/>
          <w:szCs w:val="28"/>
          <w:lang w:val="kk-KZ"/>
        </w:rPr>
      </w:pPr>
      <w:r w:rsidRPr="00F344EA">
        <w:rPr>
          <w:b/>
          <w:sz w:val="28"/>
          <w:szCs w:val="28"/>
          <w:lang w:val="kk-KZ"/>
        </w:rPr>
        <w:t xml:space="preserve">Акционерлердің </w:t>
      </w:r>
      <w:r w:rsidRPr="002D73F4">
        <w:rPr>
          <w:b/>
          <w:sz w:val="28"/>
          <w:szCs w:val="28"/>
          <w:lang w:val="kk-KZ"/>
        </w:rPr>
        <w:t>жалпы жиналысының</w:t>
      </w:r>
      <w:r w:rsidRPr="00F344EA">
        <w:rPr>
          <w:b/>
          <w:sz w:val="28"/>
          <w:szCs w:val="28"/>
          <w:lang w:val="kk-KZ"/>
        </w:rPr>
        <w:t xml:space="preserve"> қарауына мынадай шешім шығарылады</w:t>
      </w:r>
      <w:r w:rsidR="00ED136F" w:rsidRPr="00F344EA">
        <w:rPr>
          <w:b/>
          <w:sz w:val="28"/>
          <w:szCs w:val="28"/>
          <w:lang w:val="kk-KZ"/>
        </w:rPr>
        <w:t>:</w:t>
      </w:r>
    </w:p>
    <w:p w14:paraId="7B1AFD55" w14:textId="5575A10F" w:rsidR="00F76DDF" w:rsidRPr="00F344EA" w:rsidRDefault="00F76DDF" w:rsidP="00750E7B">
      <w:pPr>
        <w:ind w:firstLine="708"/>
        <w:jc w:val="both"/>
        <w:rPr>
          <w:b/>
          <w:sz w:val="28"/>
          <w:szCs w:val="28"/>
          <w:lang w:val="kk-KZ"/>
        </w:rPr>
      </w:pPr>
    </w:p>
    <w:p w14:paraId="410EBDB0" w14:textId="39AE7FB5" w:rsidR="00F76DDF" w:rsidRPr="00F344EA" w:rsidRDefault="00F76DDF" w:rsidP="00F76DDF">
      <w:pPr>
        <w:keepNext/>
        <w:keepLines/>
        <w:tabs>
          <w:tab w:val="left" w:pos="284"/>
        </w:tabs>
        <w:jc w:val="both"/>
        <w:rPr>
          <w:rFonts w:eastAsia="Times New Roman"/>
          <w:b/>
          <w:sz w:val="28"/>
          <w:szCs w:val="28"/>
          <w:lang w:val="kk-KZ"/>
        </w:rPr>
      </w:pPr>
      <w:r w:rsidRPr="00F344EA">
        <w:rPr>
          <w:rFonts w:eastAsia="Times New Roman"/>
          <w:b/>
          <w:sz w:val="28"/>
          <w:szCs w:val="28"/>
          <w:lang w:val="kk-KZ"/>
        </w:rPr>
        <w:tab/>
        <w:t xml:space="preserve">     </w:t>
      </w:r>
      <w:r w:rsidR="009959EB" w:rsidRPr="00F344EA">
        <w:rPr>
          <w:rFonts w:eastAsia="Times New Roman"/>
          <w:b/>
          <w:sz w:val="28"/>
          <w:szCs w:val="28"/>
          <w:lang w:val="kk-KZ"/>
        </w:rPr>
        <w:t>«Эрнст энд Янг» ЖШС Қоғамның 2021 жылға сыртқы аудиторы болып белгіленсін</w:t>
      </w:r>
      <w:r w:rsidRPr="00F344EA">
        <w:rPr>
          <w:rFonts w:eastAsia="Times New Roman"/>
          <w:b/>
          <w:sz w:val="28"/>
          <w:szCs w:val="28"/>
          <w:lang w:val="kk-KZ"/>
        </w:rPr>
        <w:t>.</w:t>
      </w:r>
    </w:p>
    <w:p w14:paraId="6D8FE46C" w14:textId="77777777" w:rsidR="00F76DDF" w:rsidRPr="00F344EA" w:rsidRDefault="00F76DDF" w:rsidP="00F76DDF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  <w:sz w:val="28"/>
          <w:szCs w:val="28"/>
          <w:lang w:val="kk-KZ"/>
        </w:rPr>
      </w:pPr>
    </w:p>
    <w:p w14:paraId="1CB0ADF8" w14:textId="77777777" w:rsidR="00F76DDF" w:rsidRPr="00F344EA" w:rsidRDefault="00F76DDF" w:rsidP="00750E7B">
      <w:pPr>
        <w:ind w:firstLine="708"/>
        <w:jc w:val="both"/>
        <w:rPr>
          <w:b/>
          <w:sz w:val="28"/>
          <w:szCs w:val="28"/>
          <w:lang w:val="kk-KZ"/>
        </w:rPr>
      </w:pPr>
    </w:p>
    <w:p w14:paraId="3FD0EBB1" w14:textId="2B793BBF" w:rsidR="005E7DB9" w:rsidRPr="00F344EA" w:rsidRDefault="00AF65EE" w:rsidP="00AF65EE">
      <w:pPr>
        <w:pStyle w:val="a3"/>
        <w:tabs>
          <w:tab w:val="left" w:pos="96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7DA1" w:rsidRPr="00F34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7EF9704E" w14:textId="77777777" w:rsidR="005E7DB9" w:rsidRPr="00F344EA" w:rsidRDefault="005E7DB9" w:rsidP="00216886">
      <w:pPr>
        <w:pStyle w:val="a3"/>
        <w:tabs>
          <w:tab w:val="left" w:pos="960"/>
        </w:tabs>
        <w:spacing w:after="120" w:line="240" w:lineRule="auto"/>
        <w:ind w:left="0"/>
        <w:jc w:val="both"/>
        <w:rPr>
          <w:sz w:val="28"/>
          <w:szCs w:val="28"/>
          <w:lang w:val="kk-KZ"/>
        </w:rPr>
      </w:pPr>
    </w:p>
    <w:sectPr w:rsidR="005E7DB9" w:rsidRPr="00F3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C286" w14:textId="77777777" w:rsidR="004E5BC9" w:rsidRDefault="004E5BC9" w:rsidP="00A33E76">
      <w:r>
        <w:separator/>
      </w:r>
    </w:p>
  </w:endnote>
  <w:endnote w:type="continuationSeparator" w:id="0">
    <w:p w14:paraId="054FCB3E" w14:textId="77777777" w:rsidR="004E5BC9" w:rsidRDefault="004E5BC9" w:rsidP="00A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4B54C" w14:textId="77777777" w:rsidR="004E5BC9" w:rsidRDefault="004E5BC9" w:rsidP="00A33E76">
      <w:r>
        <w:separator/>
      </w:r>
    </w:p>
  </w:footnote>
  <w:footnote w:type="continuationSeparator" w:id="0">
    <w:p w14:paraId="3FDEB1E2" w14:textId="77777777" w:rsidR="004E5BC9" w:rsidRDefault="004E5BC9" w:rsidP="00A3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725"/>
    <w:multiLevelType w:val="hybridMultilevel"/>
    <w:tmpl w:val="2A1A7A82"/>
    <w:lvl w:ilvl="0" w:tplc="450C41F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F97"/>
    <w:multiLevelType w:val="hybridMultilevel"/>
    <w:tmpl w:val="43B2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6290"/>
    <w:multiLevelType w:val="hybridMultilevel"/>
    <w:tmpl w:val="D83022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E9B491A"/>
    <w:multiLevelType w:val="hybridMultilevel"/>
    <w:tmpl w:val="B0C6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21D1C"/>
    <w:multiLevelType w:val="hybridMultilevel"/>
    <w:tmpl w:val="4CEEBE54"/>
    <w:lvl w:ilvl="0" w:tplc="B67EA78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A"/>
    <w:rsid w:val="00041B00"/>
    <w:rsid w:val="0004356E"/>
    <w:rsid w:val="0005540C"/>
    <w:rsid w:val="000668C6"/>
    <w:rsid w:val="00084C12"/>
    <w:rsid w:val="000A2204"/>
    <w:rsid w:val="000C7529"/>
    <w:rsid w:val="000C7E06"/>
    <w:rsid w:val="000D02D2"/>
    <w:rsid w:val="001045B3"/>
    <w:rsid w:val="001157AB"/>
    <w:rsid w:val="001163FA"/>
    <w:rsid w:val="00133C54"/>
    <w:rsid w:val="00154B7C"/>
    <w:rsid w:val="00180989"/>
    <w:rsid w:val="001F2671"/>
    <w:rsid w:val="00202DD8"/>
    <w:rsid w:val="00206527"/>
    <w:rsid w:val="00212850"/>
    <w:rsid w:val="00216886"/>
    <w:rsid w:val="00225301"/>
    <w:rsid w:val="00226075"/>
    <w:rsid w:val="002B4448"/>
    <w:rsid w:val="002D73F4"/>
    <w:rsid w:val="002E7748"/>
    <w:rsid w:val="00342F3D"/>
    <w:rsid w:val="00382474"/>
    <w:rsid w:val="003838BC"/>
    <w:rsid w:val="003A6FCF"/>
    <w:rsid w:val="003D617D"/>
    <w:rsid w:val="003E03B5"/>
    <w:rsid w:val="003F1705"/>
    <w:rsid w:val="00416675"/>
    <w:rsid w:val="00466386"/>
    <w:rsid w:val="004D0D55"/>
    <w:rsid w:val="004E5BC9"/>
    <w:rsid w:val="004F0ED4"/>
    <w:rsid w:val="0050066A"/>
    <w:rsid w:val="00507090"/>
    <w:rsid w:val="005846B8"/>
    <w:rsid w:val="00592727"/>
    <w:rsid w:val="00595CFA"/>
    <w:rsid w:val="005A13D1"/>
    <w:rsid w:val="005B6ADE"/>
    <w:rsid w:val="005D7EEF"/>
    <w:rsid w:val="005E0DF9"/>
    <w:rsid w:val="005E7DB9"/>
    <w:rsid w:val="005F03A6"/>
    <w:rsid w:val="005F7989"/>
    <w:rsid w:val="00633EF0"/>
    <w:rsid w:val="00641FCD"/>
    <w:rsid w:val="00651DA3"/>
    <w:rsid w:val="0065614C"/>
    <w:rsid w:val="006652EF"/>
    <w:rsid w:val="00673575"/>
    <w:rsid w:val="0069299A"/>
    <w:rsid w:val="006A6A55"/>
    <w:rsid w:val="006B5414"/>
    <w:rsid w:val="00730B84"/>
    <w:rsid w:val="00747247"/>
    <w:rsid w:val="00750E7B"/>
    <w:rsid w:val="00760DE7"/>
    <w:rsid w:val="00765A81"/>
    <w:rsid w:val="007768F6"/>
    <w:rsid w:val="007776A2"/>
    <w:rsid w:val="00785081"/>
    <w:rsid w:val="007D3526"/>
    <w:rsid w:val="007F379D"/>
    <w:rsid w:val="00802D36"/>
    <w:rsid w:val="0080338C"/>
    <w:rsid w:val="00831BE7"/>
    <w:rsid w:val="0083289C"/>
    <w:rsid w:val="00837C5D"/>
    <w:rsid w:val="00853922"/>
    <w:rsid w:val="008639AD"/>
    <w:rsid w:val="00866C5D"/>
    <w:rsid w:val="00873626"/>
    <w:rsid w:val="00881B04"/>
    <w:rsid w:val="008A3BAA"/>
    <w:rsid w:val="008E2973"/>
    <w:rsid w:val="008F2FD1"/>
    <w:rsid w:val="008F5374"/>
    <w:rsid w:val="00924E56"/>
    <w:rsid w:val="009750FD"/>
    <w:rsid w:val="0098737E"/>
    <w:rsid w:val="009959EB"/>
    <w:rsid w:val="009A6A4B"/>
    <w:rsid w:val="009D7014"/>
    <w:rsid w:val="00A07DEE"/>
    <w:rsid w:val="00A33E76"/>
    <w:rsid w:val="00A37EA5"/>
    <w:rsid w:val="00A440AD"/>
    <w:rsid w:val="00A736E4"/>
    <w:rsid w:val="00A85456"/>
    <w:rsid w:val="00AA3BE0"/>
    <w:rsid w:val="00AE7B86"/>
    <w:rsid w:val="00AF65EE"/>
    <w:rsid w:val="00AF6B6A"/>
    <w:rsid w:val="00B01B26"/>
    <w:rsid w:val="00B1120C"/>
    <w:rsid w:val="00B540ED"/>
    <w:rsid w:val="00B86B6B"/>
    <w:rsid w:val="00B91D61"/>
    <w:rsid w:val="00BA39CC"/>
    <w:rsid w:val="00C039B6"/>
    <w:rsid w:val="00C444A7"/>
    <w:rsid w:val="00C5247D"/>
    <w:rsid w:val="00C525F5"/>
    <w:rsid w:val="00C74CBC"/>
    <w:rsid w:val="00C97606"/>
    <w:rsid w:val="00CA6D63"/>
    <w:rsid w:val="00D405C0"/>
    <w:rsid w:val="00D51F44"/>
    <w:rsid w:val="00D610DF"/>
    <w:rsid w:val="00D8075A"/>
    <w:rsid w:val="00DC25BD"/>
    <w:rsid w:val="00DE7DA1"/>
    <w:rsid w:val="00DF20C8"/>
    <w:rsid w:val="00E16868"/>
    <w:rsid w:val="00E40B2D"/>
    <w:rsid w:val="00E61F19"/>
    <w:rsid w:val="00E843B9"/>
    <w:rsid w:val="00E87C98"/>
    <w:rsid w:val="00EC3409"/>
    <w:rsid w:val="00EC4D8A"/>
    <w:rsid w:val="00ED136F"/>
    <w:rsid w:val="00F0516C"/>
    <w:rsid w:val="00F27201"/>
    <w:rsid w:val="00F330EF"/>
    <w:rsid w:val="00F344EA"/>
    <w:rsid w:val="00F34857"/>
    <w:rsid w:val="00F52B73"/>
    <w:rsid w:val="00F76DDF"/>
    <w:rsid w:val="00F90B1C"/>
    <w:rsid w:val="00FA1E79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5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4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6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0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B1C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C4D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A33E7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33E7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33E7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809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098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098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09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098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0C7E06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B540ED"/>
    <w:rPr>
      <w:color w:val="0000FF"/>
      <w:u w:val="single"/>
    </w:rPr>
  </w:style>
  <w:style w:type="character" w:customStyle="1" w:styleId="s0">
    <w:name w:val="s0"/>
    <w:basedOn w:val="a0"/>
    <w:rsid w:val="00B540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4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6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0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B1C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C4D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A33E7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33E7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33E7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809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098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098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09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098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0C7E06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B540ED"/>
    <w:rPr>
      <w:color w:val="0000FF"/>
      <w:u w:val="single"/>
    </w:rPr>
  </w:style>
  <w:style w:type="character" w:customStyle="1" w:styleId="s0">
    <w:name w:val="s0"/>
    <w:basedOn w:val="a0"/>
    <w:rsid w:val="00B540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A5E4-E96E-4216-9B0D-D457DF41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&amp; Case LLP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Сарсенбаев Мади Абдирахманович</dc:creator>
  <cp:lastModifiedBy>Темиргали Жумагуль Избайкызы</cp:lastModifiedBy>
  <cp:revision>16</cp:revision>
  <cp:lastPrinted>2019-09-27T05:41:00Z</cp:lastPrinted>
  <dcterms:created xsi:type="dcterms:W3CDTF">2019-09-19T11:11:00Z</dcterms:created>
  <dcterms:modified xsi:type="dcterms:W3CDTF">2022-01-10T06:53:00Z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